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664A" w14:textId="61164ABD" w:rsidR="00405027" w:rsidRPr="00933548" w:rsidRDefault="00661BBB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5027" w:rsidRPr="0093354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D42B9E5" wp14:editId="13E27696">
            <wp:extent cx="1390650" cy="132281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14" cy="132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8DA28" w14:textId="28BC4AB6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KLASA: </w:t>
      </w:r>
      <w:r w:rsidR="00933548">
        <w:rPr>
          <w:rFonts w:ascii="Times New Roman" w:hAnsi="Times New Roman" w:cs="Times New Roman"/>
          <w:sz w:val="24"/>
          <w:szCs w:val="24"/>
        </w:rPr>
        <w:t>245-01/24-01/1</w:t>
      </w:r>
    </w:p>
    <w:p w14:paraId="35C60FFE" w14:textId="43BBC65C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URBROJ: </w:t>
      </w:r>
      <w:r w:rsidR="00933548">
        <w:rPr>
          <w:rFonts w:ascii="Times New Roman" w:hAnsi="Times New Roman" w:cs="Times New Roman"/>
          <w:sz w:val="24"/>
          <w:szCs w:val="24"/>
        </w:rPr>
        <w:t>2182-</w:t>
      </w:r>
      <w:r w:rsidR="00EE4E56">
        <w:rPr>
          <w:rFonts w:ascii="Times New Roman" w:hAnsi="Times New Roman" w:cs="Times New Roman"/>
          <w:sz w:val="24"/>
          <w:szCs w:val="24"/>
        </w:rPr>
        <w:t>01-</w:t>
      </w:r>
      <w:r w:rsidR="00933548">
        <w:rPr>
          <w:rFonts w:ascii="Times New Roman" w:hAnsi="Times New Roman" w:cs="Times New Roman"/>
          <w:sz w:val="24"/>
          <w:szCs w:val="24"/>
        </w:rPr>
        <w:t>2</w:t>
      </w:r>
      <w:r w:rsidR="00EE4E56">
        <w:rPr>
          <w:rFonts w:ascii="Times New Roman" w:hAnsi="Times New Roman" w:cs="Times New Roman"/>
          <w:sz w:val="24"/>
          <w:szCs w:val="24"/>
        </w:rPr>
        <w:t>5</w:t>
      </w:r>
      <w:r w:rsidR="00933548">
        <w:rPr>
          <w:rFonts w:ascii="Times New Roman" w:hAnsi="Times New Roman" w:cs="Times New Roman"/>
          <w:sz w:val="24"/>
          <w:szCs w:val="24"/>
        </w:rPr>
        <w:t>-1</w:t>
      </w:r>
    </w:p>
    <w:p w14:paraId="0A60467D" w14:textId="0E119A78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Oklaj, </w:t>
      </w:r>
      <w:r w:rsidR="00933548">
        <w:rPr>
          <w:rFonts w:ascii="Times New Roman" w:hAnsi="Times New Roman" w:cs="Times New Roman"/>
          <w:sz w:val="24"/>
          <w:szCs w:val="24"/>
        </w:rPr>
        <w:t>1</w:t>
      </w:r>
      <w:r w:rsidR="00EE4E56">
        <w:rPr>
          <w:rFonts w:ascii="Times New Roman" w:hAnsi="Times New Roman" w:cs="Times New Roman"/>
          <w:sz w:val="24"/>
          <w:szCs w:val="24"/>
        </w:rPr>
        <w:t>7</w:t>
      </w:r>
      <w:r w:rsidRPr="00933548">
        <w:rPr>
          <w:rFonts w:ascii="Times New Roman" w:hAnsi="Times New Roman" w:cs="Times New Roman"/>
          <w:sz w:val="24"/>
          <w:szCs w:val="24"/>
        </w:rPr>
        <w:t xml:space="preserve">. </w:t>
      </w:r>
      <w:r w:rsidR="00933548">
        <w:rPr>
          <w:rFonts w:ascii="Times New Roman" w:hAnsi="Times New Roman" w:cs="Times New Roman"/>
          <w:sz w:val="24"/>
          <w:szCs w:val="24"/>
        </w:rPr>
        <w:t>prosinca</w:t>
      </w:r>
      <w:r w:rsidRPr="00933548">
        <w:rPr>
          <w:rFonts w:ascii="Times New Roman" w:hAnsi="Times New Roman" w:cs="Times New Roman"/>
          <w:sz w:val="24"/>
          <w:szCs w:val="24"/>
        </w:rPr>
        <w:t xml:space="preserve"> 202</w:t>
      </w:r>
      <w:r w:rsidR="00EE4E56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>. godine</w:t>
      </w:r>
    </w:p>
    <w:p w14:paraId="2A7CDA4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CE26AB" w14:textId="1C6CB5FE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Na temelju članka 13. stavaka 4. i 5. Zakona o zaštiti od požara (NN 92/10 i 114/22) i članka 25. Statuta Općine Promina (Službeno glasilo Općine Promina </w:t>
      </w:r>
      <w:r w:rsidR="00EE4E56">
        <w:rPr>
          <w:rFonts w:ascii="Times New Roman" w:hAnsi="Times New Roman" w:cs="Times New Roman"/>
          <w:sz w:val="24"/>
          <w:szCs w:val="24"/>
        </w:rPr>
        <w:t>13/24 i 9/25</w:t>
      </w:r>
      <w:r w:rsidRPr="00933548">
        <w:rPr>
          <w:rFonts w:ascii="Times New Roman" w:hAnsi="Times New Roman" w:cs="Times New Roman"/>
          <w:sz w:val="24"/>
          <w:szCs w:val="24"/>
        </w:rPr>
        <w:t>), Općinsko vijeće Općine Promina, na svojoj</w:t>
      </w:r>
      <w:r w:rsidR="008E0343">
        <w:rPr>
          <w:rFonts w:ascii="Times New Roman" w:hAnsi="Times New Roman" w:cs="Times New Roman"/>
          <w:sz w:val="24"/>
          <w:szCs w:val="24"/>
        </w:rPr>
        <w:t xml:space="preserve"> </w:t>
      </w:r>
      <w:r w:rsidR="00EE4E56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 xml:space="preserve">. sjednici, održanoj </w:t>
      </w:r>
      <w:r w:rsidR="00EE4E56">
        <w:rPr>
          <w:rFonts w:ascii="Times New Roman" w:hAnsi="Times New Roman" w:cs="Times New Roman"/>
          <w:sz w:val="24"/>
          <w:szCs w:val="24"/>
        </w:rPr>
        <w:t>17</w:t>
      </w:r>
      <w:r w:rsidR="00EE4E56" w:rsidRPr="00933548">
        <w:rPr>
          <w:rFonts w:ascii="Times New Roman" w:hAnsi="Times New Roman" w:cs="Times New Roman"/>
          <w:sz w:val="24"/>
          <w:szCs w:val="24"/>
        </w:rPr>
        <w:t xml:space="preserve">. </w:t>
      </w:r>
      <w:r w:rsidR="00EE4E56">
        <w:rPr>
          <w:rFonts w:ascii="Times New Roman" w:hAnsi="Times New Roman" w:cs="Times New Roman"/>
          <w:sz w:val="24"/>
          <w:szCs w:val="24"/>
        </w:rPr>
        <w:t>prosinca</w:t>
      </w:r>
      <w:r w:rsidR="00EE4E56" w:rsidRPr="00933548">
        <w:rPr>
          <w:rFonts w:ascii="Times New Roman" w:hAnsi="Times New Roman" w:cs="Times New Roman"/>
          <w:sz w:val="24"/>
          <w:szCs w:val="24"/>
        </w:rPr>
        <w:t xml:space="preserve"> 202</w:t>
      </w:r>
      <w:r w:rsidR="00EE4E56">
        <w:rPr>
          <w:rFonts w:ascii="Times New Roman" w:hAnsi="Times New Roman" w:cs="Times New Roman"/>
          <w:sz w:val="24"/>
          <w:szCs w:val="24"/>
        </w:rPr>
        <w:t>5</w:t>
      </w:r>
      <w:r w:rsidR="00EE4E56" w:rsidRPr="00933548">
        <w:rPr>
          <w:rFonts w:ascii="Times New Roman" w:hAnsi="Times New Roman" w:cs="Times New Roman"/>
          <w:sz w:val="24"/>
          <w:szCs w:val="24"/>
        </w:rPr>
        <w:t xml:space="preserve">. </w:t>
      </w:r>
      <w:r w:rsidRPr="00933548">
        <w:rPr>
          <w:rFonts w:ascii="Times New Roman" w:hAnsi="Times New Roman" w:cs="Times New Roman"/>
          <w:sz w:val="24"/>
          <w:szCs w:val="24"/>
        </w:rPr>
        <w:t>godine, donosi</w:t>
      </w:r>
    </w:p>
    <w:p w14:paraId="09AE17EF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D8ECEF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PROVEDBENI PLAN </w:t>
      </w:r>
    </w:p>
    <w:p w14:paraId="7B06871B" w14:textId="27F6F85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UNAPREĐENJA ZAŠTITE OD POŽARA NA PODRUČJU OPĆINE PROMINA ZA 202</w:t>
      </w:r>
      <w:r w:rsidR="00EE4E5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795C51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7B6949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626F3627" w14:textId="06AB9372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U cilju unapređenja zaštite od požara na području Općine Promina Općinsko vijeće Općine Promina donosi Provedbeni plan unapređenja zaštite od požara za područje Općine Promina za 202</w:t>
      </w:r>
      <w:r w:rsidR="00EE4E56">
        <w:rPr>
          <w:rFonts w:ascii="Times New Roman" w:hAnsi="Times New Roman" w:cs="Times New Roman"/>
          <w:sz w:val="24"/>
          <w:szCs w:val="24"/>
        </w:rPr>
        <w:t>6</w:t>
      </w:r>
      <w:r w:rsidRPr="00933548">
        <w:rPr>
          <w:rFonts w:ascii="Times New Roman" w:hAnsi="Times New Roman" w:cs="Times New Roman"/>
          <w:sz w:val="24"/>
          <w:szCs w:val="24"/>
        </w:rPr>
        <w:t>. godinu (u daljnjem tekstu: Provedbeni plan).</w:t>
      </w:r>
    </w:p>
    <w:p w14:paraId="5F7D531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E9091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380ECDF6" w14:textId="781316CC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U cilju unapređenja zaštite od požara na području Općine Promina potrebno je u 202</w:t>
      </w:r>
      <w:r w:rsidR="00EE4E56">
        <w:rPr>
          <w:rFonts w:ascii="Times New Roman" w:hAnsi="Times New Roman" w:cs="Times New Roman"/>
          <w:sz w:val="24"/>
          <w:szCs w:val="24"/>
        </w:rPr>
        <w:t>6</w:t>
      </w:r>
      <w:r w:rsidRPr="00933548">
        <w:rPr>
          <w:rFonts w:ascii="Times New Roman" w:hAnsi="Times New Roman" w:cs="Times New Roman"/>
          <w:sz w:val="24"/>
          <w:szCs w:val="24"/>
        </w:rPr>
        <w:t>. godini provesti sljedeće organizacijske, tehničke i urbanističke mjere:</w:t>
      </w:r>
    </w:p>
    <w:p w14:paraId="2B0033F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1D5EC7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1. Organizacijske mjere</w:t>
      </w:r>
    </w:p>
    <w:p w14:paraId="46DD3605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 w:rsidRPr="00933548">
        <w:rPr>
          <w:rFonts w:ascii="Times New Roman" w:hAnsi="Times New Roman" w:cs="Times New Roman"/>
          <w:b/>
          <w:sz w:val="24"/>
          <w:szCs w:val="24"/>
        </w:rPr>
        <w:t>Vatrogasne postrojbe</w:t>
      </w:r>
    </w:p>
    <w:p w14:paraId="2F6E3EC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a) Izvršiti zdravstvene preglede vatrogasaca koji nisu zdravstveno pregledani te redovito izvršavati stručnu provjeru osposobljenosti vatrogasaca.</w:t>
      </w:r>
    </w:p>
    <w:p w14:paraId="336B0D6B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0E89C1D3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995525" w14:textId="768CB1B1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933548">
        <w:rPr>
          <w:rFonts w:ascii="Times New Roman" w:hAnsi="Times New Roman" w:cs="Times New Roman"/>
          <w:sz w:val="24"/>
          <w:szCs w:val="24"/>
        </w:rPr>
        <w:t>Tijekom razdoblja povećane opasnosti od izbijanja požara (ljetni period) potrebno je osigurati stalno vatrogasno dežurstvo.</w:t>
      </w:r>
    </w:p>
    <w:p w14:paraId="306442E9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1167AFA7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A4653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Pr="00933548">
        <w:rPr>
          <w:rFonts w:ascii="Times New Roman" w:hAnsi="Times New Roman" w:cs="Times New Roman"/>
          <w:b/>
          <w:sz w:val="24"/>
          <w:szCs w:val="24"/>
        </w:rPr>
        <w:t>Normativni ustroj zaštite od požara</w:t>
      </w:r>
    </w:p>
    <w:p w14:paraId="20C422E0" w14:textId="126B9E4D" w:rsidR="00405027" w:rsidRPr="00933548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05027" w:rsidRPr="00933548">
        <w:rPr>
          <w:rFonts w:ascii="Times New Roman" w:hAnsi="Times New Roman" w:cs="Times New Roman"/>
          <w:sz w:val="24"/>
          <w:szCs w:val="24"/>
        </w:rPr>
        <w:t>) Uskladiti Plan motrenja, čuvanja i ophodnje otvorenog prostora</w:t>
      </w:r>
    </w:p>
    <w:p w14:paraId="3E1BA3A5" w14:textId="00FFD89D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6386FB00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A1BD6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8A723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1BCB2" w14:textId="0F5A9F29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Tehničke mjere</w:t>
      </w:r>
    </w:p>
    <w:p w14:paraId="5190C4A4" w14:textId="7917366F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Pr="00933548">
        <w:rPr>
          <w:rFonts w:ascii="Times New Roman" w:hAnsi="Times New Roman" w:cs="Times New Roman"/>
          <w:b/>
          <w:sz w:val="24"/>
          <w:szCs w:val="24"/>
        </w:rPr>
        <w:t>Vatrogasna oprema i tehnika</w:t>
      </w:r>
    </w:p>
    <w:p w14:paraId="39D4A876" w14:textId="2FF0F03B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a) Sukladno objektivnim fiskalnim mogućnostima, potrebno je u 202</w:t>
      </w:r>
      <w:r w:rsidR="006A7B41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>. godini nabaviti i opremiti DVD Promina s opremom koja nedostaje prema Pravilniku o minimumu opreme i sredstava za rad određenih vatrogasnih postrojbi dobrovoljnih vatrogasnih društava (NN 91/02).</w:t>
      </w:r>
    </w:p>
    <w:p w14:paraId="2E4F8B63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Promina, Općina Promina</w:t>
      </w:r>
    </w:p>
    <w:p w14:paraId="7815BCFD" w14:textId="77777777" w:rsidR="00933548" w:rsidRDefault="00933548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32A9C" w14:textId="2704A409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3. Urbanističke mjere</w:t>
      </w:r>
    </w:p>
    <w:p w14:paraId="5AA66DC0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a)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U postupku donošenja prostorno‐planske dokumentacije (prvenstveno provedbene) ovisno o razini prostornih planova obavezno je primijeniti mjere zaštite od požara sukladno važećim propisima.</w:t>
      </w:r>
    </w:p>
    <w:p w14:paraId="3DCD38B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6F0A3B2A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068A46" w14:textId="4C0821EC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b)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U naseljima sustavno poduzimati potrebne mjere kako bi prometnice i javne površine bile uvijek prohodne u svrhu nesmetane intervencije. U većim kompleksima pravnih osoba potrebno je osigurati stalnu prohodnost vatrogasnih pristupa i putova evakuacije.</w:t>
      </w:r>
    </w:p>
    <w:p w14:paraId="66F34A3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1E72EEF5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3A45F1B7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4. Organizacijske i administrativne mjere zaštite od požara</w:t>
      </w:r>
    </w:p>
    <w:p w14:paraId="2856C29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933548">
        <w:rPr>
          <w:rFonts w:ascii="Times New Roman" w:hAnsi="Times New Roman" w:cs="Times New Roman"/>
          <w:sz w:val="24"/>
          <w:szCs w:val="24"/>
        </w:rPr>
        <w:t>Sukladno važećim propisima koji reguliraju zaštitu od požara na otvorenom prostoru, nužno je urediti okvire ponašanja na otvorenom prostoru, posebice u vrijeme povećane opasnosti od požara.</w:t>
      </w:r>
    </w:p>
    <w:p w14:paraId="2374BF4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06718501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138EFD" w14:textId="097FC9E8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b)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Bunari i ostale prirodne pričuve vode koje se mogu koristiti za gašenje požara na otvorenom prostoru moraju se redovito čistiti, a prilazni putovi za vatrogasna vozila održavati prohodnima.</w:t>
      </w:r>
    </w:p>
    <w:p w14:paraId="7B61375B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Promina, DVD Promina</w:t>
      </w:r>
    </w:p>
    <w:p w14:paraId="5B9587C8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86E8E3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c)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Obvezan je nadzor i skrb nad županijskim i lokalnim cestama te zemljišnim pojasom uz cestu. Zemljišni pojas uz ceste mora biti čist i pregledan kako zbog sigurnosti prometa tako i zbog sprečavanja nastajanja i širenja požara po njemu. Stoga je obavezno čišćenje zemljišnog pojasa uz ceste od lakozapaljivih tvari, odnosno onih tvari koje bi mogle izazvati požar ili omogućiti odnosno olakšati njegovo širenje.</w:t>
      </w:r>
    </w:p>
    <w:p w14:paraId="5CA10F2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Županijska uprava za ceste Šibensko-kninske županije, Općina Promina</w:t>
      </w:r>
    </w:p>
    <w:p w14:paraId="29CF17F9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14:paraId="08D765E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d) Koristeći sve oblike javnog priopćavanja (radio, televizija, tisak, plakati, letci i slično), sustavno i redovito obavještavati i upozoravati stanovništvo na potrebu provođenja preventivnih mjera zaštite od požara.</w:t>
      </w:r>
    </w:p>
    <w:p w14:paraId="4A6D1C78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Vatrogasna zajednica Šibensko-kninske županije, Općina Promina</w:t>
      </w:r>
    </w:p>
    <w:p w14:paraId="56EA015B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727530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42F120" w14:textId="45A4AC4A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lastRenderedPageBreak/>
        <w:t>e) Nužno je propisati mjere za uređivanje i održavanje poljoprivrednih površina, živica i međa, poljskih putova i kanala sukladno važećim propisima.</w:t>
      </w:r>
    </w:p>
    <w:p w14:paraId="25293623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390EAA91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02B24BF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3.</w:t>
      </w:r>
    </w:p>
    <w:p w14:paraId="0D1889DD" w14:textId="36CB01BA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Sredstva za provedbu obveza Općine Promina koje proizlaze iz ovoga Provedbenog plana osigurat će se u proračunu Općine Promina za 202</w:t>
      </w:r>
      <w:r w:rsidR="00EE4E56">
        <w:rPr>
          <w:rFonts w:ascii="Times New Roman" w:hAnsi="Times New Roman" w:cs="Times New Roman"/>
          <w:sz w:val="24"/>
          <w:szCs w:val="24"/>
        </w:rPr>
        <w:t>6</w:t>
      </w:r>
      <w:r w:rsidRPr="00933548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016D9BF0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503F69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4.</w:t>
      </w:r>
    </w:p>
    <w:p w14:paraId="641789BF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Općinsko vijeće Općine Promina jednom godišnje razmatra Izvješće o stanju provedbe Provedbenog plana.</w:t>
      </w:r>
    </w:p>
    <w:p w14:paraId="413541BF" w14:textId="77777777" w:rsidR="006A7B41" w:rsidRDefault="006A7B41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0C5E11" w14:textId="442B0395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5.</w:t>
      </w:r>
    </w:p>
    <w:p w14:paraId="5381B1C7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Ovaj Provedbeni plan stupa na snagu osmog dana od dana objave u Službenom glasilu Općine Promina.</w:t>
      </w:r>
    </w:p>
    <w:p w14:paraId="318E0605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089C8C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OPĆINA PROMINA</w:t>
      </w:r>
    </w:p>
    <w:p w14:paraId="30E867C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OPĆINSKO VIJEĆE</w:t>
      </w:r>
    </w:p>
    <w:p w14:paraId="5EE18C23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CA14ED" w14:textId="67F6D89A" w:rsidR="00405027" w:rsidRPr="00933548" w:rsidRDefault="00EE4E56" w:rsidP="00EE4E56">
      <w:pPr>
        <w:autoSpaceDE w:val="0"/>
        <w:autoSpaceDN w:val="0"/>
        <w:adjustRightInd w:val="0"/>
        <w:spacing w:after="0"/>
        <w:ind w:left="7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405027" w:rsidRPr="00933548">
        <w:rPr>
          <w:rFonts w:ascii="Times New Roman" w:hAnsi="Times New Roman" w:cs="Times New Roman"/>
          <w:bCs/>
          <w:sz w:val="24"/>
          <w:szCs w:val="24"/>
        </w:rPr>
        <w:t>Predsjednica</w:t>
      </w:r>
    </w:p>
    <w:p w14:paraId="1C91856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Davorka Bronić</w:t>
      </w:r>
    </w:p>
    <w:p w14:paraId="15B71723" w14:textId="77777777" w:rsidR="0080162E" w:rsidRPr="00933548" w:rsidRDefault="0080162E" w:rsidP="00933548">
      <w:pPr>
        <w:rPr>
          <w:rFonts w:ascii="Times New Roman" w:hAnsi="Times New Roman" w:cs="Times New Roman"/>
          <w:sz w:val="24"/>
          <w:szCs w:val="24"/>
        </w:rPr>
      </w:pPr>
    </w:p>
    <w:sectPr w:rsidR="0080162E" w:rsidRPr="00933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027"/>
    <w:rsid w:val="001D5071"/>
    <w:rsid w:val="00405027"/>
    <w:rsid w:val="00636325"/>
    <w:rsid w:val="00661BBB"/>
    <w:rsid w:val="006A7B41"/>
    <w:rsid w:val="0080162E"/>
    <w:rsid w:val="008E0343"/>
    <w:rsid w:val="00933548"/>
    <w:rsid w:val="00AB3F28"/>
    <w:rsid w:val="00BD74BE"/>
    <w:rsid w:val="00EE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E70B"/>
  <w15:chartTrackingRefBased/>
  <w15:docId w15:val="{6A7355CE-4FA3-42DC-911E-CA241ACC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027"/>
    <w:pPr>
      <w:spacing w:after="200" w:line="27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dcterms:created xsi:type="dcterms:W3CDTF">2024-12-04T12:50:00Z</dcterms:created>
  <dcterms:modified xsi:type="dcterms:W3CDTF">2025-12-10T07:23:00Z</dcterms:modified>
</cp:coreProperties>
</file>